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77"/>
        <w:gridCol w:w="5268"/>
      </w:tblGrid>
      <w:tr w:rsidR="0055411A" w:rsidRPr="0055411A" w:rsidTr="00021CAD">
        <w:tc>
          <w:tcPr>
            <w:tcW w:w="4077" w:type="dxa"/>
            <w:shd w:val="clear" w:color="auto" w:fill="auto"/>
          </w:tcPr>
          <w:p w:rsidR="0055411A" w:rsidRPr="0055411A" w:rsidRDefault="0055411A" w:rsidP="0055411A">
            <w:pPr>
              <w:spacing w:after="0"/>
              <w:rPr>
                <w:rFonts w:ascii="Times New Roman" w:hAnsi="Times New Roman" w:cs="Times New Roman"/>
                <w:sz w:val="28"/>
                <w:szCs w:val="28"/>
                <w:lang w:val="ru-RU"/>
              </w:rPr>
            </w:pPr>
          </w:p>
        </w:tc>
        <w:tc>
          <w:tcPr>
            <w:tcW w:w="5268" w:type="dxa"/>
            <w:shd w:val="clear" w:color="auto" w:fill="auto"/>
          </w:tcPr>
          <w:p w:rsidR="0055411A" w:rsidRPr="0055411A" w:rsidRDefault="0055411A" w:rsidP="0055411A">
            <w:pPr>
              <w:spacing w:after="0"/>
              <w:jc w:val="right"/>
              <w:rPr>
                <w:rFonts w:ascii="Times New Roman" w:hAnsi="Times New Roman" w:cs="Times New Roman"/>
                <w:sz w:val="28"/>
                <w:szCs w:val="28"/>
                <w:lang w:val="ru-RU"/>
              </w:rPr>
            </w:pPr>
            <w:r w:rsidRPr="0055411A">
              <w:rPr>
                <w:rFonts w:ascii="Times New Roman" w:hAnsi="Times New Roman" w:cs="Times New Roman"/>
                <w:sz w:val="28"/>
                <w:szCs w:val="28"/>
                <w:lang w:val="ru-RU"/>
              </w:rPr>
              <w:t>Утверждена</w:t>
            </w:r>
          </w:p>
        </w:tc>
      </w:tr>
      <w:tr w:rsidR="0055411A" w:rsidRPr="0055411A" w:rsidTr="00021CAD">
        <w:tc>
          <w:tcPr>
            <w:tcW w:w="4077" w:type="dxa"/>
            <w:shd w:val="clear" w:color="auto" w:fill="auto"/>
          </w:tcPr>
          <w:p w:rsidR="0055411A" w:rsidRPr="0055411A" w:rsidRDefault="0055411A" w:rsidP="0055411A">
            <w:pPr>
              <w:spacing w:after="0"/>
              <w:rPr>
                <w:rFonts w:ascii="Times New Roman" w:hAnsi="Times New Roman" w:cs="Times New Roman"/>
                <w:sz w:val="28"/>
                <w:szCs w:val="28"/>
                <w:lang w:val="ru-RU"/>
              </w:rPr>
            </w:pPr>
          </w:p>
        </w:tc>
        <w:tc>
          <w:tcPr>
            <w:tcW w:w="5268" w:type="dxa"/>
            <w:shd w:val="clear" w:color="auto" w:fill="auto"/>
          </w:tcPr>
          <w:p w:rsidR="0055411A" w:rsidRPr="0055411A" w:rsidRDefault="0055411A" w:rsidP="0055411A">
            <w:pPr>
              <w:spacing w:after="0"/>
              <w:jc w:val="right"/>
              <w:rPr>
                <w:rFonts w:ascii="Times New Roman" w:hAnsi="Times New Roman" w:cs="Times New Roman"/>
                <w:sz w:val="28"/>
                <w:szCs w:val="28"/>
              </w:rPr>
            </w:pPr>
            <w:r w:rsidRPr="0055411A">
              <w:rPr>
                <w:rFonts w:ascii="Times New Roman" w:hAnsi="Times New Roman" w:cs="Times New Roman"/>
                <w:sz w:val="28"/>
                <w:szCs w:val="28"/>
                <w:lang w:val="ru-RU"/>
              </w:rPr>
              <w:t>Постановлением Правительства №</w:t>
            </w:r>
            <w:r w:rsidRPr="0055411A">
              <w:rPr>
                <w:rFonts w:ascii="Times New Roman" w:hAnsi="Times New Roman" w:cs="Times New Roman"/>
                <w:sz w:val="28"/>
                <w:szCs w:val="28"/>
              </w:rPr>
              <w:t xml:space="preserve"> 375</w:t>
            </w:r>
          </w:p>
        </w:tc>
      </w:tr>
      <w:tr w:rsidR="0055411A" w:rsidRPr="0055411A" w:rsidTr="00021CAD">
        <w:tc>
          <w:tcPr>
            <w:tcW w:w="4077" w:type="dxa"/>
            <w:shd w:val="clear" w:color="auto" w:fill="auto"/>
          </w:tcPr>
          <w:p w:rsidR="0055411A" w:rsidRPr="0055411A" w:rsidRDefault="0055411A" w:rsidP="0055411A">
            <w:pPr>
              <w:spacing w:after="0"/>
              <w:rPr>
                <w:rFonts w:ascii="Times New Roman" w:hAnsi="Times New Roman" w:cs="Times New Roman"/>
                <w:sz w:val="28"/>
                <w:szCs w:val="28"/>
                <w:lang w:val="ru-RU"/>
              </w:rPr>
            </w:pPr>
          </w:p>
        </w:tc>
        <w:tc>
          <w:tcPr>
            <w:tcW w:w="5268" w:type="dxa"/>
            <w:shd w:val="clear" w:color="auto" w:fill="auto"/>
          </w:tcPr>
          <w:p w:rsidR="0055411A" w:rsidRPr="0055411A" w:rsidRDefault="0055411A" w:rsidP="0055411A">
            <w:pPr>
              <w:spacing w:after="0"/>
              <w:jc w:val="right"/>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от  </w:t>
            </w:r>
            <w:r w:rsidRPr="0055411A">
              <w:rPr>
                <w:rFonts w:ascii="Times New Roman" w:hAnsi="Times New Roman" w:cs="Times New Roman"/>
                <w:sz w:val="28"/>
                <w:szCs w:val="28"/>
              </w:rPr>
              <w:t xml:space="preserve">27 </w:t>
            </w:r>
            <w:r w:rsidRPr="0055411A">
              <w:rPr>
                <w:rFonts w:ascii="Times New Roman" w:hAnsi="Times New Roman" w:cs="Times New Roman"/>
                <w:sz w:val="28"/>
                <w:szCs w:val="28"/>
                <w:lang w:val="ru-RU"/>
              </w:rPr>
              <w:t>м</w:t>
            </w:r>
            <w:proofErr w:type="spellStart"/>
            <w:r w:rsidRPr="0055411A">
              <w:rPr>
                <w:rFonts w:ascii="Times New Roman" w:hAnsi="Times New Roman" w:cs="Times New Roman"/>
                <w:sz w:val="28"/>
                <w:szCs w:val="28"/>
              </w:rPr>
              <w:t>ая</w:t>
            </w:r>
            <w:proofErr w:type="spellEnd"/>
            <w:r w:rsidRPr="0055411A">
              <w:rPr>
                <w:rFonts w:ascii="Times New Roman" w:hAnsi="Times New Roman" w:cs="Times New Roman"/>
                <w:sz w:val="28"/>
                <w:szCs w:val="28"/>
                <w:lang w:val="ru-RU"/>
              </w:rPr>
              <w:t xml:space="preserve">  2014 г.</w:t>
            </w:r>
          </w:p>
        </w:tc>
      </w:tr>
    </w:tbl>
    <w:p w:rsidR="0055411A" w:rsidRPr="0055411A" w:rsidRDefault="0055411A" w:rsidP="0055411A">
      <w:pPr>
        <w:spacing w:after="0"/>
        <w:rPr>
          <w:rFonts w:ascii="Times New Roman" w:hAnsi="Times New Roman" w:cs="Times New Roman"/>
          <w:sz w:val="28"/>
          <w:szCs w:val="28"/>
          <w:lang w:val="ru-RU"/>
        </w:rPr>
      </w:pPr>
    </w:p>
    <w:p w:rsidR="0055411A" w:rsidRPr="0055411A" w:rsidRDefault="0055411A" w:rsidP="0055411A">
      <w:pPr>
        <w:spacing w:after="0"/>
        <w:jc w:val="center"/>
        <w:rPr>
          <w:rFonts w:ascii="Times New Roman" w:hAnsi="Times New Roman" w:cs="Times New Roman"/>
          <w:b/>
          <w:sz w:val="28"/>
          <w:szCs w:val="28"/>
          <w:lang w:val="ru-RU"/>
        </w:rPr>
      </w:pPr>
      <w:r w:rsidRPr="0055411A">
        <w:rPr>
          <w:rFonts w:ascii="Times New Roman" w:hAnsi="Times New Roman" w:cs="Times New Roman"/>
          <w:b/>
          <w:sz w:val="28"/>
          <w:szCs w:val="28"/>
          <w:lang w:val="ru-RU"/>
        </w:rPr>
        <w:t>МЕТОДОЛОГИЯ</w:t>
      </w:r>
    </w:p>
    <w:p w:rsidR="0055411A" w:rsidRPr="0055411A" w:rsidRDefault="0055411A" w:rsidP="0055411A">
      <w:pPr>
        <w:spacing w:after="0"/>
        <w:jc w:val="center"/>
        <w:rPr>
          <w:rFonts w:ascii="Times New Roman" w:hAnsi="Times New Roman" w:cs="Times New Roman"/>
          <w:b/>
          <w:sz w:val="28"/>
          <w:szCs w:val="28"/>
          <w:lang w:val="ru-RU"/>
        </w:rPr>
      </w:pPr>
      <w:r w:rsidRPr="0055411A">
        <w:rPr>
          <w:rFonts w:ascii="Times New Roman" w:hAnsi="Times New Roman" w:cs="Times New Roman"/>
          <w:b/>
          <w:sz w:val="28"/>
          <w:szCs w:val="28"/>
          <w:lang w:val="ru-RU"/>
        </w:rPr>
        <w:t>планирования государственного контроля предпринимательской деятельности на основании оценки критериев риска в области</w:t>
      </w:r>
    </w:p>
    <w:p w:rsidR="0055411A" w:rsidRPr="0055411A" w:rsidRDefault="0055411A" w:rsidP="0055411A">
      <w:pPr>
        <w:spacing w:after="0"/>
        <w:jc w:val="center"/>
        <w:rPr>
          <w:rFonts w:ascii="Times New Roman" w:hAnsi="Times New Roman" w:cs="Times New Roman"/>
          <w:b/>
          <w:sz w:val="28"/>
          <w:szCs w:val="28"/>
          <w:lang w:val="ru-RU"/>
        </w:rPr>
      </w:pPr>
      <w:r w:rsidRPr="0055411A">
        <w:rPr>
          <w:rFonts w:ascii="Times New Roman" w:hAnsi="Times New Roman" w:cs="Times New Roman"/>
          <w:b/>
          <w:sz w:val="28"/>
          <w:szCs w:val="28"/>
          <w:lang w:val="ru-RU"/>
        </w:rPr>
        <w:t>контроля, осуществляемого Государственной инспекцией труда</w:t>
      </w:r>
    </w:p>
    <w:p w:rsidR="0055411A" w:rsidRPr="0055411A" w:rsidRDefault="0055411A" w:rsidP="0055411A">
      <w:pPr>
        <w:spacing w:after="0"/>
        <w:rPr>
          <w:rFonts w:ascii="Times New Roman" w:hAnsi="Times New Roman" w:cs="Times New Roman"/>
          <w:sz w:val="28"/>
          <w:szCs w:val="28"/>
          <w:lang w:val="ru-RU"/>
        </w:rPr>
      </w:pPr>
    </w:p>
    <w:p w:rsidR="0055411A" w:rsidRPr="0055411A" w:rsidRDefault="0055411A" w:rsidP="0055411A">
      <w:pPr>
        <w:spacing w:after="0"/>
        <w:jc w:val="center"/>
        <w:rPr>
          <w:rFonts w:ascii="Times New Roman" w:hAnsi="Times New Roman" w:cs="Times New Roman"/>
          <w:b/>
          <w:sz w:val="28"/>
          <w:szCs w:val="28"/>
          <w:lang w:val="ru-RU"/>
        </w:rPr>
      </w:pPr>
      <w:r w:rsidRPr="0055411A">
        <w:rPr>
          <w:rFonts w:ascii="Times New Roman" w:hAnsi="Times New Roman" w:cs="Times New Roman"/>
          <w:b/>
          <w:sz w:val="28"/>
          <w:szCs w:val="28"/>
          <w:lang w:val="ru-RU"/>
        </w:rPr>
        <w:t>I. Общие положения</w:t>
      </w:r>
    </w:p>
    <w:p w:rsidR="0055411A" w:rsidRPr="0055411A" w:rsidRDefault="0055411A" w:rsidP="0055411A">
      <w:pPr>
        <w:spacing w:after="0"/>
        <w:jc w:val="center"/>
        <w:rPr>
          <w:rFonts w:ascii="Times New Roman" w:hAnsi="Times New Roman" w:cs="Times New Roman"/>
          <w:b/>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1. Методология планирования государственного контроля предпринимательской деятельности на основании оценки критериев риска в области контроля, осуществляемого Государственной инспекцией труда (в дальнейшем – Методология) разработана в соответствии с Общей методологии планирования государственного контроля предпринимательской деятельности на основе анализа критериев риска, утвержденной Постановлением Правительства № 694 от 5 сентября 2013 г.</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2. В основу Методологии заложены критерии риска, релевантные для области контроля, осуществляемого Государственной инспекцией труда (в дальнейшем – Инспекция), с присуждением соответствующей оценки и соотнесением значимости каждого критерия риска, в зависимости от его релевантности для общего уровня риска.</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3. Уровень риска, установленный для каждого предпринимателя, определяет частоту и интенсивность необходимых мер контроля деятельности данного предпринимателя.</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jc w:val="center"/>
        <w:rPr>
          <w:rFonts w:ascii="Times New Roman" w:hAnsi="Times New Roman" w:cs="Times New Roman"/>
          <w:b/>
          <w:sz w:val="28"/>
          <w:szCs w:val="28"/>
          <w:lang w:val="ru-RU"/>
        </w:rPr>
      </w:pPr>
      <w:r w:rsidRPr="0055411A">
        <w:rPr>
          <w:rFonts w:ascii="Times New Roman" w:hAnsi="Times New Roman" w:cs="Times New Roman"/>
          <w:b/>
          <w:sz w:val="28"/>
          <w:szCs w:val="28"/>
          <w:lang w:val="ru-RU"/>
        </w:rPr>
        <w:t>II. Установление критериев риска</w:t>
      </w:r>
    </w:p>
    <w:p w:rsidR="0055411A" w:rsidRPr="0055411A" w:rsidRDefault="0055411A" w:rsidP="0055411A">
      <w:pPr>
        <w:spacing w:after="0"/>
        <w:ind w:firstLine="720"/>
        <w:jc w:val="center"/>
        <w:rPr>
          <w:rFonts w:ascii="Times New Roman" w:hAnsi="Times New Roman" w:cs="Times New Roman"/>
          <w:b/>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4. Критерий риска суммирует набор обстоятельств или свойств субъекта и/или объекта, подлежащего контролю, и/или предыдущих взаимоотношений подконтрольного предпринимателя с Инспекцией, наличие и интенсивность которых указывают на вероятность причинения вреда жизни и здоровью работников, нарушения трудовых прав и прав на достойные условия труда.</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5. Критерии риска группируются в зависимости от субъекта контроля, объекта контроля и от предыдущих взаимоотношений с Инспекцией.</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6. На область контроля, осуществляемого Инспекцией, приходятся критерии риска, соответствующие:</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a) целям и функциям, установленным законом;</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b) типу отношений и социальным ценностям, которые защищает;</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c) ущербу, который необходимо предотвратить.</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7. Выбранные критерии риска должны соблюдать следующие принципы:</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a) соответствовать целям деятельности Инспекции;</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b) охватывать все предприятия, подлежащие контролю, осуществляемому Инспекцией;</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c) основываться на достоверной, точной и доступной информации. </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В первую очередь, отбираются критерии, которые позволяют возможность присваивать уровень риска конкретному лицу на основе ценной информации (статистических данных), которая может быть получена из внешних источников и по мере необходимости; </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d) могут быть взвешенными;</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e) может быть обеспечена возможность классификации каждого критерия по интенсивности риска, который он представляет;</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f) соотноситься с многосторонним характером источников риска. Существенно важно, чтобы дублировались и отбирались критерии, относящиеся к предмету, объекту и предыдущим взаимоотношениям с контролирующим органом.</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8. Критерии риска, используемые инспекцией:</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а) риск травмирования;</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b) задолженности по выплате заработной платы;</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с) число работников;</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d) период, в котором предприятие осуществляет деятельность, подлежащую контролю;</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e) дата проведения последней проверки;</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f) предыдущие нарушения.</w:t>
      </w:r>
    </w:p>
    <w:p w:rsidR="0055411A" w:rsidRPr="0055411A" w:rsidRDefault="0055411A" w:rsidP="0055411A">
      <w:pPr>
        <w:spacing w:after="0"/>
        <w:ind w:firstLine="720"/>
        <w:rPr>
          <w:rFonts w:ascii="Times New Roman" w:hAnsi="Times New Roman" w:cs="Times New Roman"/>
          <w:sz w:val="28"/>
          <w:szCs w:val="28"/>
          <w:lang w:val="ru-RU"/>
        </w:rPr>
      </w:pPr>
    </w:p>
    <w:p w:rsidR="0055411A" w:rsidRPr="0055411A" w:rsidRDefault="0055411A" w:rsidP="0055411A">
      <w:pPr>
        <w:spacing w:after="0"/>
        <w:jc w:val="center"/>
        <w:rPr>
          <w:rFonts w:ascii="Times New Roman" w:hAnsi="Times New Roman" w:cs="Times New Roman"/>
          <w:b/>
          <w:sz w:val="28"/>
          <w:szCs w:val="28"/>
          <w:lang w:val="ru-RU"/>
        </w:rPr>
      </w:pPr>
      <w:r w:rsidRPr="0055411A">
        <w:rPr>
          <w:rFonts w:ascii="Times New Roman" w:hAnsi="Times New Roman" w:cs="Times New Roman"/>
          <w:b/>
          <w:sz w:val="28"/>
          <w:szCs w:val="28"/>
          <w:lang w:val="ru-RU"/>
        </w:rPr>
        <w:t>III. Распределение интенсивности риска</w:t>
      </w:r>
    </w:p>
    <w:p w:rsidR="0055411A" w:rsidRPr="0055411A" w:rsidRDefault="0055411A" w:rsidP="0055411A">
      <w:pPr>
        <w:spacing w:after="0"/>
        <w:ind w:firstLine="720"/>
        <w:jc w:val="center"/>
        <w:rPr>
          <w:rFonts w:ascii="Times New Roman" w:hAnsi="Times New Roman" w:cs="Times New Roman"/>
          <w:b/>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9. Каждый критерий риска распределяется по степеням/уровням интенсивности, которые оцениваются согласно значению степени риска. Масштаб оценки находится в диапазоне от 1 до 5, где «1» означает минимальную и «5» максимальную степень риска.</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10. При присуждении цифровых значений учитывается весомость каждого уровня в рамках критерия риска и равномерность перемещения с одного уровня риска на другой, таким образом, чтобы в одном всеобъемлющем реестре были отражены соответствующие уровни возможных рисков от минимального до максимального.</w:t>
      </w:r>
    </w:p>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11. Оценки присуждаются следующим образом:</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1) риск травмирования (таблица 1).</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i/>
          <w:sz w:val="28"/>
          <w:szCs w:val="28"/>
          <w:lang w:val="ru-RU"/>
        </w:rPr>
        <w:t>Общее основание</w:t>
      </w:r>
      <w:r w:rsidRPr="0055411A">
        <w:rPr>
          <w:rFonts w:ascii="Times New Roman" w:hAnsi="Times New Roman" w:cs="Times New Roman"/>
          <w:sz w:val="28"/>
          <w:szCs w:val="28"/>
          <w:lang w:val="ru-RU"/>
        </w:rPr>
        <w:t>: несчастные случаи на производстве обусловлены угрозами, присущими:</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а) экономической деятельности (согласно Классификатору видов экономической деятельности Молдовы CAEM Rev.2, издание 2009);</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o-RO"/>
        </w:rPr>
        <w:t>b</w:t>
      </w:r>
      <w:r w:rsidRPr="0055411A">
        <w:rPr>
          <w:rFonts w:ascii="Times New Roman" w:hAnsi="Times New Roman" w:cs="Times New Roman"/>
          <w:sz w:val="28"/>
          <w:szCs w:val="28"/>
          <w:lang w:val="ru-RU"/>
        </w:rPr>
        <w:t>) оборудованию и средствам, используемым в процессе труда;</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с) производственным заданиям, методам труда, технологическим процессам;</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d) трудовым отношениям, уровню профессиональной подготовки, уровню знаний в области охраны здоровья и безопасности труда работников и работодателей; </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е) превышению нормальной продолжительности рабочего времени;</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f) привлечению несовершеннолетних, женщин к запрещенным для них работам;</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g) производственной, окружающей и социальной среде.</w:t>
      </w:r>
    </w:p>
    <w:p w:rsidR="0055411A" w:rsidRPr="0055411A" w:rsidRDefault="0055411A" w:rsidP="0055411A">
      <w:pPr>
        <w:spacing w:after="0"/>
        <w:ind w:firstLine="720"/>
        <w:rPr>
          <w:rFonts w:ascii="Times New Roman" w:hAnsi="Times New Roman" w:cs="Times New Roman"/>
          <w:sz w:val="28"/>
          <w:szCs w:val="28"/>
          <w:lang w:val="ru-RU"/>
        </w:rPr>
      </w:pP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Таблица 1 </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2858"/>
      </w:tblGrid>
      <w:tr w:rsidR="0055411A" w:rsidRPr="0055411A" w:rsidTr="00021CAD">
        <w:tc>
          <w:tcPr>
            <w:tcW w:w="6379"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 xml:space="preserve">Экономическая деятельность (в соответствии с Классификатором видов экономической деятельности Молдовы CAEM Rev.2, издание </w:t>
            </w:r>
            <w:r w:rsidRPr="0055411A">
              <w:rPr>
                <w:rFonts w:ascii="Times New Roman" w:hAnsi="Times New Roman" w:cs="Times New Roman"/>
                <w:b/>
                <w:sz w:val="28"/>
                <w:szCs w:val="28"/>
                <w:lang w:val="ru-RU"/>
              </w:rPr>
              <w:lastRenderedPageBreak/>
              <w:t>2009)</w:t>
            </w:r>
          </w:p>
        </w:tc>
        <w:tc>
          <w:tcPr>
            <w:tcW w:w="2858"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lastRenderedPageBreak/>
              <w:t>Уровень риска</w:t>
            </w:r>
          </w:p>
        </w:tc>
      </w:tr>
      <w:tr w:rsidR="0055411A" w:rsidRPr="0055411A" w:rsidTr="00021CAD">
        <w:tc>
          <w:tcPr>
            <w:tcW w:w="6379" w:type="dxa"/>
          </w:tcPr>
          <w:p w:rsidR="0055411A" w:rsidRPr="0055411A" w:rsidRDefault="0055411A" w:rsidP="0055411A">
            <w:pPr>
              <w:tabs>
                <w:tab w:val="left" w:pos="5535"/>
              </w:tabs>
              <w:spacing w:after="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lastRenderedPageBreak/>
              <w:t>Деятельность гостиниц и предприятий общественного питания (I), образование (P), финансовые и страховые предприятия (K), профессиональная, научная и техническая деятельность (M)</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w:t>
            </w:r>
          </w:p>
        </w:tc>
      </w:tr>
      <w:tr w:rsidR="0055411A" w:rsidRPr="0055411A" w:rsidTr="00021CAD">
        <w:tc>
          <w:tcPr>
            <w:tcW w:w="6379" w:type="dxa"/>
          </w:tcPr>
          <w:p w:rsidR="0055411A" w:rsidRPr="0055411A" w:rsidRDefault="0055411A" w:rsidP="0055411A">
            <w:pPr>
              <w:spacing w:after="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Добыча полезных ископаемых (B), предоставление прочих видов услуг (S), искусство, развлечения и отдых (R), административная деятельность и дополнительные услуги в данной области (N)</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w:t>
            </w:r>
          </w:p>
        </w:tc>
      </w:tr>
      <w:tr w:rsidR="0055411A" w:rsidRPr="0055411A" w:rsidTr="00021CAD">
        <w:tc>
          <w:tcPr>
            <w:tcW w:w="6379" w:type="dxa"/>
          </w:tcPr>
          <w:p w:rsidR="0055411A" w:rsidRPr="0055411A" w:rsidRDefault="0055411A" w:rsidP="0055411A">
            <w:pPr>
              <w:spacing w:after="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Операции с недвижимым имуществом (L), оптовая и розничная торговля; техническое обслуживание и ремонт автотранспортных средств и мотоциклов (G), водоснабжение; очистка и обработка отходов и восстановительные работы (E)</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w:t>
            </w:r>
          </w:p>
        </w:tc>
      </w:tr>
      <w:tr w:rsidR="0055411A" w:rsidRPr="0055411A" w:rsidTr="00021CAD">
        <w:tc>
          <w:tcPr>
            <w:tcW w:w="6379" w:type="dxa"/>
          </w:tcPr>
          <w:p w:rsidR="0055411A" w:rsidRPr="0055411A" w:rsidRDefault="0055411A" w:rsidP="0055411A">
            <w:pPr>
              <w:spacing w:after="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Строительство (F), сельское, лесное и рыбное хозяйство (A), производство и обеспечение электро- и теплоэнергия, газ и вода</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w:t>
            </w:r>
          </w:p>
        </w:tc>
      </w:tr>
      <w:tr w:rsidR="0055411A" w:rsidRPr="0055411A" w:rsidTr="00021CAD">
        <w:tc>
          <w:tcPr>
            <w:tcW w:w="6379" w:type="dxa"/>
          </w:tcPr>
          <w:p w:rsidR="0055411A" w:rsidRPr="0055411A" w:rsidRDefault="0055411A" w:rsidP="0055411A">
            <w:pPr>
              <w:spacing w:after="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перерабатывающая промышленность (C), транспорт и хранение (H), государственное управление и оборона; обязательное социальное страхование (O), здравоохранение и социальные услуги (Q), информационные услуги и связь (J)</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w:t>
            </w:r>
          </w:p>
        </w:tc>
      </w:tr>
    </w:tbl>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 задолженности по выплате заработной платы (таблица 2).</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Общее основание</w:t>
      </w:r>
      <w:r w:rsidRPr="0055411A">
        <w:rPr>
          <w:rFonts w:ascii="Times New Roman" w:hAnsi="Times New Roman" w:cs="Times New Roman"/>
          <w:sz w:val="28"/>
          <w:szCs w:val="28"/>
          <w:lang w:val="ru-RU"/>
        </w:rPr>
        <w:t>: ущерб, причиненный работникам, семейному бюджету, государственному бюджету, бюджету социального и медицинского страхования.</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2858"/>
      </w:tblGrid>
      <w:tr w:rsidR="0055411A" w:rsidRPr="0055411A" w:rsidTr="00021CAD">
        <w:tc>
          <w:tcPr>
            <w:tcW w:w="6379"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 xml:space="preserve">Продолжительность задолженности по выплате </w:t>
            </w: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заработной платы</w:t>
            </w:r>
          </w:p>
        </w:tc>
        <w:tc>
          <w:tcPr>
            <w:tcW w:w="2858"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Уровень риска</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До 2 месяцев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2-3 месяца  </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3-5 месяцев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5-6 месяцев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6 месяцев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w:t>
            </w:r>
          </w:p>
        </w:tc>
      </w:tr>
    </w:tbl>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lastRenderedPageBreak/>
        <w:t>3) число работников (таблица 3).</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Общее основание</w:t>
      </w:r>
      <w:r w:rsidRPr="0055411A">
        <w:rPr>
          <w:rFonts w:ascii="Times New Roman" w:hAnsi="Times New Roman" w:cs="Times New Roman"/>
          <w:sz w:val="28"/>
          <w:szCs w:val="28"/>
          <w:lang w:val="ru-RU"/>
        </w:rPr>
        <w:t xml:space="preserve">: большое количество работников предполагает разнообразные схемы организационной структуры предприятия, а наличие различных категорий работников требует от работодателя больших и разнообразных усилий в процессе организации и обеспечения каждому работнику достойных условий труда (соответствие положениям законодательства, уровень заработной платы, установленной и выплачиваемой в соответствии с требованиями законодательства, охрана здоровья и безопасность труда на рабочем месте и др.). </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Таблица 3</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2858"/>
      </w:tblGrid>
      <w:tr w:rsidR="0055411A" w:rsidRPr="0055411A" w:rsidTr="00021CAD">
        <w:tc>
          <w:tcPr>
            <w:tcW w:w="6379"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Число работников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Уровень риска</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До 10 работников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10-20 работников  </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20-50 работников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50-100 работников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100 работников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w:t>
            </w:r>
          </w:p>
        </w:tc>
      </w:tr>
    </w:tbl>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 период, за который проверенный предприниматель осуществляет деятельность, подлежащую контролю (таблица 4).</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Общее основание</w:t>
      </w:r>
      <w:r w:rsidRPr="0055411A">
        <w:rPr>
          <w:rFonts w:ascii="Times New Roman" w:hAnsi="Times New Roman" w:cs="Times New Roman"/>
          <w:sz w:val="28"/>
          <w:szCs w:val="28"/>
          <w:lang w:val="ru-RU"/>
        </w:rPr>
        <w:t>: чем больше продолжительность деятельности предпринимателя на рынке, тем лучше он знаком с законодательством, тем более внимательно относится к своей репутации и чаще внедряет и использует системы менеджмента охраны здоровья и безопасности труда и применения трудового законодательства.</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Таблица 4 </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2858"/>
      </w:tblGrid>
      <w:tr w:rsidR="0055411A" w:rsidRPr="0055411A" w:rsidTr="00021CAD">
        <w:tc>
          <w:tcPr>
            <w:tcW w:w="6379"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Период деятельности предприятия</w:t>
            </w:r>
          </w:p>
        </w:tc>
        <w:tc>
          <w:tcPr>
            <w:tcW w:w="2858"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Уровень риска</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20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15-20 лет  </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10-15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5-10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До 5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w:t>
            </w:r>
          </w:p>
        </w:tc>
      </w:tr>
    </w:tbl>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 дата проведения последней проверки (таблица 5).</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Общее основание</w:t>
      </w:r>
      <w:r w:rsidRPr="0055411A">
        <w:rPr>
          <w:rFonts w:ascii="Times New Roman" w:hAnsi="Times New Roman" w:cs="Times New Roman"/>
          <w:sz w:val="28"/>
          <w:szCs w:val="28"/>
          <w:lang w:val="ru-RU"/>
        </w:rPr>
        <w:t xml:space="preserve">: чем продолжительнее период, в который предприниматель, подлежащий контролю, не проверялся, тем больше </w:t>
      </w:r>
      <w:r w:rsidRPr="0055411A">
        <w:rPr>
          <w:rFonts w:ascii="Times New Roman" w:hAnsi="Times New Roman" w:cs="Times New Roman"/>
          <w:sz w:val="28"/>
          <w:szCs w:val="28"/>
          <w:lang w:val="ru-RU"/>
        </w:rPr>
        <w:lastRenderedPageBreak/>
        <w:t xml:space="preserve">сомнение относительно его соответствия нормативным требованиям. Таким образом, минимальный риск присуждается предпринимателям, проверенным недавно, а максимальный риск – предпринимателям, в отношении которых государственный контроль не проводился давно. </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Таблица 5</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2858"/>
      </w:tblGrid>
      <w:tr w:rsidR="0055411A" w:rsidRPr="0055411A" w:rsidTr="00021CAD">
        <w:tc>
          <w:tcPr>
            <w:tcW w:w="6379"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Промежуток времени с момента осуществления последней проверки</w:t>
            </w:r>
          </w:p>
        </w:tc>
        <w:tc>
          <w:tcPr>
            <w:tcW w:w="2858"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Уровень риска</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1 года</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2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3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3</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4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Более 5 лет</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w:t>
            </w:r>
          </w:p>
        </w:tc>
      </w:tr>
    </w:tbl>
    <w:p w:rsidR="0055411A" w:rsidRPr="0055411A" w:rsidRDefault="0055411A" w:rsidP="0055411A">
      <w:pPr>
        <w:spacing w:after="0"/>
        <w:ind w:firstLine="720"/>
        <w:jc w:val="both"/>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6) предыдущие нарушения (таблица  6).</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Общее основание</w:t>
      </w:r>
      <w:r w:rsidRPr="0055411A">
        <w:rPr>
          <w:rFonts w:ascii="Times New Roman" w:hAnsi="Times New Roman" w:cs="Times New Roman"/>
          <w:sz w:val="28"/>
          <w:szCs w:val="28"/>
          <w:lang w:val="ru-RU"/>
        </w:rPr>
        <w:t>: отсутствие нарушений на дату последней проверки указывает на готовность предпринимателя соблюдать закон и, следовательно, более низкий риск нарушения закона. Этот факт может освободить экономического агента от последующей проверки. Наличие нарушений на последнюю дату осуществления проверки присуждает экономическому агенту высокую степень риска.</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Таблица 6</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2858"/>
      </w:tblGrid>
      <w:tr w:rsidR="0055411A" w:rsidRPr="0055411A" w:rsidTr="00021CAD">
        <w:tc>
          <w:tcPr>
            <w:tcW w:w="6379"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 xml:space="preserve">Нарушения, выявленные </w:t>
            </w: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при последней проверке</w:t>
            </w:r>
          </w:p>
        </w:tc>
        <w:tc>
          <w:tcPr>
            <w:tcW w:w="2858" w:type="dxa"/>
            <w:vAlign w:val="center"/>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Уровень риска</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Обнаружены незначительные нарушения (с представлением или без представления предписания)</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Обнаружены незначительные нарушения без причинения прямого ущерба работникам (составлен протокол об административном правонарушении)</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Обнаружены нарушения и причинен прямой ущерб работникам (составлен протокол об административном правонарушении, возмещен </w:t>
            </w:r>
            <w:r w:rsidRPr="0055411A">
              <w:rPr>
                <w:rFonts w:ascii="Times New Roman" w:hAnsi="Times New Roman" w:cs="Times New Roman"/>
                <w:sz w:val="28"/>
                <w:szCs w:val="28"/>
                <w:lang w:val="ru-RU"/>
              </w:rPr>
              <w:lastRenderedPageBreak/>
              <w:t>ущерб)</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lastRenderedPageBreak/>
              <w:t>3</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lastRenderedPageBreak/>
              <w:t>Обнаружены нарушения, которые входят в состав правонарушения и причинили незначительный ущерб работникам (применены санкции, возмещен ущерб, приостановка функционирования объектов)</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4</w:t>
            </w:r>
          </w:p>
        </w:tc>
      </w:tr>
      <w:tr w:rsidR="0055411A" w:rsidRPr="0055411A" w:rsidTr="00021CAD">
        <w:tc>
          <w:tcPr>
            <w:tcW w:w="6379"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Обнаружены нарушения, которые являются составом преступления и причинили значительный ущерб работникам (применены санкции, возмещен ущерб, приостановка объектов, уведомление органов уголовного преследования)</w:t>
            </w:r>
          </w:p>
        </w:tc>
        <w:tc>
          <w:tcPr>
            <w:tcW w:w="2858" w:type="dxa"/>
            <w:vAlign w:val="center"/>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5</w:t>
            </w:r>
          </w:p>
        </w:tc>
      </w:tr>
    </w:tbl>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IV.</w:t>
      </w:r>
      <w:r w:rsidRPr="0055411A">
        <w:rPr>
          <w:rFonts w:ascii="Times New Roman" w:hAnsi="Times New Roman" w:cs="Times New Roman"/>
          <w:sz w:val="28"/>
          <w:szCs w:val="28"/>
          <w:lang w:val="ru-RU"/>
        </w:rPr>
        <w:t xml:space="preserve"> О</w:t>
      </w:r>
      <w:r w:rsidRPr="0055411A">
        <w:rPr>
          <w:rFonts w:ascii="Times New Roman" w:hAnsi="Times New Roman" w:cs="Times New Roman"/>
          <w:b/>
          <w:sz w:val="28"/>
          <w:szCs w:val="28"/>
          <w:lang w:val="ru-RU"/>
        </w:rPr>
        <w:t>ценка критериев</w:t>
      </w:r>
    </w:p>
    <w:p w:rsidR="0055411A" w:rsidRPr="0055411A" w:rsidRDefault="0055411A" w:rsidP="0055411A">
      <w:pPr>
        <w:spacing w:after="0"/>
        <w:ind w:firstLine="720"/>
        <w:jc w:val="center"/>
        <w:textAlignment w:val="top"/>
        <w:rPr>
          <w:rFonts w:ascii="Times New Roman" w:hAnsi="Times New Roman" w:cs="Times New Roman"/>
          <w:b/>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12. Оценка каждого критерия устанавливается по отношению ко всем отобранным критериям, принимая во внимание важность конкретного критерия в специфической области контроля (Таблица 7). Одинаковые критерии могут иметь различную релевантность (и весомость), в зависимости от области контроля.</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13. Весомость риска определяется по каждому отдельному критерию риска в долях, таким образом, чтобы суммарная величина всех критериев составила единицу. Присуждение более высокой весомости одному критерию требует снижения весомости для других критериев.</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Таблица 7</w:t>
      </w:r>
    </w:p>
    <w:p w:rsidR="0055411A" w:rsidRPr="0055411A" w:rsidRDefault="0055411A" w:rsidP="0055411A">
      <w:pPr>
        <w:spacing w:after="0"/>
        <w:ind w:firstLine="720"/>
        <w:jc w:val="right"/>
        <w:textAlignment w:val="top"/>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3283"/>
      </w:tblGrid>
      <w:tr w:rsidR="0055411A" w:rsidRPr="0055411A" w:rsidTr="00021CAD">
        <w:tc>
          <w:tcPr>
            <w:tcW w:w="5954" w:type="dxa"/>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Критерии</w:t>
            </w:r>
          </w:p>
        </w:tc>
        <w:tc>
          <w:tcPr>
            <w:tcW w:w="3283" w:type="dxa"/>
          </w:tcPr>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Весомость</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Риск травмирования</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0,3</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Задолженность по выплате заработной платы</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0,1</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Количество работников</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0,1</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Период деятельности предприятия</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0,2</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Промежуток времени с момента осуществления последней проверки</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0,2</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Нарушения, выявленные при последней </w:t>
            </w:r>
            <w:r w:rsidRPr="0055411A">
              <w:rPr>
                <w:rFonts w:ascii="Times New Roman" w:hAnsi="Times New Roman" w:cs="Times New Roman"/>
                <w:sz w:val="28"/>
                <w:szCs w:val="28"/>
                <w:lang w:val="ru-RU"/>
              </w:rPr>
              <w:lastRenderedPageBreak/>
              <w:t>проверке</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lastRenderedPageBreak/>
              <w:t>0,1</w:t>
            </w:r>
          </w:p>
        </w:tc>
      </w:tr>
      <w:tr w:rsidR="0055411A" w:rsidRPr="0055411A" w:rsidTr="00021CAD">
        <w:tc>
          <w:tcPr>
            <w:tcW w:w="5954" w:type="dxa"/>
          </w:tcPr>
          <w:p w:rsidR="0055411A" w:rsidRPr="0055411A" w:rsidRDefault="0055411A" w:rsidP="0055411A">
            <w:pPr>
              <w:spacing w:after="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lastRenderedPageBreak/>
              <w:t>Всего</w:t>
            </w:r>
          </w:p>
        </w:tc>
        <w:tc>
          <w:tcPr>
            <w:tcW w:w="3283" w:type="dxa"/>
          </w:tcPr>
          <w:p w:rsidR="0055411A" w:rsidRPr="0055411A" w:rsidRDefault="0055411A" w:rsidP="0055411A">
            <w:pPr>
              <w:spacing w:after="0"/>
              <w:jc w:val="center"/>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1,0</w:t>
            </w:r>
          </w:p>
        </w:tc>
      </w:tr>
    </w:tbl>
    <w:p w:rsidR="0055411A" w:rsidRPr="0055411A" w:rsidRDefault="0055411A" w:rsidP="0055411A">
      <w:pPr>
        <w:tabs>
          <w:tab w:val="left" w:pos="1120"/>
        </w:tabs>
        <w:spacing w:after="0"/>
        <w:ind w:firstLine="720"/>
        <w:jc w:val="both"/>
        <w:rPr>
          <w:rFonts w:ascii="Times New Roman" w:hAnsi="Times New Roman" w:cs="Times New Roman"/>
          <w:sz w:val="28"/>
          <w:szCs w:val="28"/>
          <w:lang w:val="ru-RU"/>
        </w:rPr>
      </w:pPr>
    </w:p>
    <w:p w:rsidR="0055411A" w:rsidRPr="0055411A" w:rsidRDefault="0055411A" w:rsidP="0055411A">
      <w:pPr>
        <w:tabs>
          <w:tab w:val="left" w:pos="1120"/>
        </w:tabs>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14. Весомость, присвоенная каждому критерию риска, пересматривается периодически, согласно результатам предыдущих проверок и собранной информацией. В случае если со временем критерий теряет свою актуальность, его доля по отношению к остальным применяемым критериям понижается.</w:t>
      </w:r>
    </w:p>
    <w:p w:rsidR="0055411A" w:rsidRPr="0055411A" w:rsidRDefault="0055411A" w:rsidP="0055411A">
      <w:pPr>
        <w:spacing w:after="0"/>
        <w:ind w:firstLine="720"/>
        <w:jc w:val="center"/>
        <w:textAlignment w:val="top"/>
        <w:rPr>
          <w:rFonts w:ascii="Times New Roman" w:hAnsi="Times New Roman" w:cs="Times New Roman"/>
          <w:b/>
          <w:sz w:val="28"/>
          <w:szCs w:val="28"/>
          <w:lang w:val="ru-RU"/>
        </w:rPr>
      </w:pP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 xml:space="preserve">V. Применение критериев по отношению к физическим </w:t>
      </w: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и юридическим лицам</w:t>
      </w:r>
    </w:p>
    <w:p w:rsidR="0055411A" w:rsidRPr="0055411A" w:rsidRDefault="0055411A" w:rsidP="0055411A">
      <w:pPr>
        <w:spacing w:after="0"/>
        <w:jc w:val="center"/>
        <w:textAlignment w:val="top"/>
        <w:rPr>
          <w:rFonts w:ascii="Times New Roman" w:hAnsi="Times New Roman" w:cs="Times New Roman"/>
          <w:b/>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15. После определения конкретных критериев, которые будут использоваться, и их весомости, эти критерии применяются в соотношении с каждым потенциальным предметом контроля путем установления средневзвешенной специфической степени риска на основе следующей формулы:</w:t>
      </w: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                         </w:t>
      </w:r>
      <m:oMath>
        <m:sSub>
          <m:sSubPr>
            <m:ctrlPr>
              <w:rPr>
                <w:rFonts w:ascii="Cambria Math" w:hAnsi="Times New Roman" w:cs="Times New Roman"/>
                <w:i/>
                <w:lang w:val="ro-MO"/>
              </w:rPr>
            </m:ctrlPr>
          </m:sSubPr>
          <m:e>
            <m:r>
              <w:rPr>
                <w:rFonts w:ascii="Cambria Math" w:hAnsi="Cambria Math" w:cs="Times New Roman"/>
                <w:lang w:val="ro-MO"/>
              </w:rPr>
              <m:t>R</m:t>
            </m:r>
          </m:e>
          <m:sub>
            <m:r>
              <w:rPr>
                <w:rFonts w:ascii="Cambria Math" w:hAnsi="Cambria Math" w:cs="Times New Roman"/>
                <w:lang w:val="ro-MO"/>
              </w:rPr>
              <m:t>g</m:t>
            </m:r>
          </m:sub>
        </m:sSub>
        <m:r>
          <w:rPr>
            <w:rFonts w:ascii="Cambria Math" w:hAnsi="Times New Roman" w:cs="Times New Roman"/>
            <w:lang w:val="ro-MO"/>
          </w:rPr>
          <m:t>=</m:t>
        </m:r>
        <m:d>
          <m:dPr>
            <m:ctrlPr>
              <w:rPr>
                <w:rFonts w:ascii="Cambria Math" w:hAnsi="Times New Roman" w:cs="Times New Roman"/>
                <w:i/>
                <w:lang w:val="ro-MO"/>
              </w:rPr>
            </m:ctrlPr>
          </m:dPr>
          <m:e>
            <m:sSub>
              <m:sSubPr>
                <m:ctrlPr>
                  <w:rPr>
                    <w:rFonts w:ascii="Cambria Math" w:hAnsi="Times New Roman" w:cs="Times New Roman"/>
                    <w:i/>
                    <w:lang w:val="ro-MO"/>
                  </w:rPr>
                </m:ctrlPr>
              </m:sSubPr>
              <m:e>
                <m:r>
                  <w:rPr>
                    <w:rFonts w:ascii="Cambria Math" w:hAnsi="Cambria Math" w:cs="Times New Roman"/>
                    <w:lang w:val="ro-MO"/>
                  </w:rPr>
                  <m:t>w</m:t>
                </m:r>
              </m:e>
              <m:sub>
                <m:r>
                  <w:rPr>
                    <w:rFonts w:ascii="Cambria Math" w:hAnsi="Times New Roman" w:cs="Times New Roman"/>
                    <w:lang w:val="ro-MO"/>
                  </w:rPr>
                  <m:t>1</m:t>
                </m:r>
              </m:sub>
            </m:sSub>
            <m:sSub>
              <m:sSubPr>
                <m:ctrlPr>
                  <w:rPr>
                    <w:rFonts w:ascii="Cambria Math" w:hAnsi="Times New Roman" w:cs="Times New Roman"/>
                    <w:i/>
                    <w:lang w:val="ro-MO"/>
                  </w:rPr>
                </m:ctrlPr>
              </m:sSubPr>
              <m:e>
                <m:r>
                  <m:rPr>
                    <m:sty m:val="p"/>
                  </m:rPr>
                  <w:rPr>
                    <w:rFonts w:ascii="Cambria Math" w:hAnsi="Times New Roman" w:cs="Times New Roman"/>
                    <w:lang w:val="ro-MO"/>
                  </w:rPr>
                  <m:t>R</m:t>
                </m:r>
              </m:e>
              <m:sub>
                <m:r>
                  <w:rPr>
                    <w:rFonts w:ascii="Cambria Math" w:hAnsi="Times New Roman" w:cs="Times New Roman"/>
                    <w:lang w:val="ro-MO"/>
                  </w:rPr>
                  <m:t>1</m:t>
                </m:r>
              </m:sub>
            </m:sSub>
            <m:r>
              <w:rPr>
                <w:rFonts w:ascii="Cambria Math" w:hAnsi="Times New Roman" w:cs="Times New Roman"/>
                <w:lang w:val="ro-MO"/>
              </w:rPr>
              <m:t>+</m:t>
            </m:r>
            <m:sSub>
              <m:sSubPr>
                <m:ctrlPr>
                  <w:rPr>
                    <w:rFonts w:ascii="Cambria Math" w:hAnsi="Times New Roman" w:cs="Times New Roman"/>
                    <w:i/>
                    <w:lang w:val="ro-MO"/>
                  </w:rPr>
                </m:ctrlPr>
              </m:sSubPr>
              <m:e>
                <m:r>
                  <w:rPr>
                    <w:rFonts w:ascii="Cambria Math" w:hAnsi="Cambria Math" w:cs="Times New Roman"/>
                    <w:lang w:val="ro-MO"/>
                  </w:rPr>
                  <m:t>w</m:t>
                </m:r>
              </m:e>
              <m:sub>
                <m:r>
                  <w:rPr>
                    <w:rFonts w:ascii="Cambria Math" w:hAnsi="Times New Roman" w:cs="Times New Roman"/>
                    <w:lang w:val="ro-MO"/>
                  </w:rPr>
                  <m:t>2</m:t>
                </m:r>
              </m:sub>
            </m:sSub>
            <m:sSub>
              <m:sSubPr>
                <m:ctrlPr>
                  <w:rPr>
                    <w:rFonts w:ascii="Cambria Math" w:hAnsi="Times New Roman" w:cs="Times New Roman"/>
                    <w:i/>
                    <w:lang w:val="ro-MO"/>
                  </w:rPr>
                </m:ctrlPr>
              </m:sSubPr>
              <m:e>
                <m:r>
                  <m:rPr>
                    <m:sty m:val="p"/>
                  </m:rPr>
                  <w:rPr>
                    <w:rFonts w:ascii="Cambria Math" w:hAnsi="Times New Roman" w:cs="Times New Roman"/>
                    <w:lang w:val="ro-MO"/>
                  </w:rPr>
                  <m:t>R</m:t>
                </m:r>
              </m:e>
              <m:sub>
                <m:r>
                  <w:rPr>
                    <w:rFonts w:ascii="Cambria Math" w:hAnsi="Times New Roman" w:cs="Times New Roman"/>
                    <w:lang w:val="ro-MO"/>
                  </w:rPr>
                  <m:t>2</m:t>
                </m:r>
              </m:sub>
            </m:sSub>
            <m:r>
              <w:rPr>
                <w:rFonts w:ascii="Cambria Math" w:hAnsi="Times New Roman" w:cs="Times New Roman"/>
                <w:lang w:val="ro-MO"/>
              </w:rPr>
              <m:t>+</m:t>
            </m:r>
            <m:r>
              <w:rPr>
                <w:rFonts w:ascii="Cambria Math" w:hAnsi="Cambria Math" w:cs="Times New Roman"/>
                <w:lang w:val="ro-MO"/>
              </w:rPr>
              <m:t>⋯</m:t>
            </m:r>
            <m:r>
              <w:rPr>
                <w:rFonts w:ascii="Cambria Math" w:hAnsi="Times New Roman" w:cs="Times New Roman"/>
                <w:lang w:val="ro-MO"/>
              </w:rPr>
              <m:t>+</m:t>
            </m:r>
            <m:sSub>
              <m:sSubPr>
                <m:ctrlPr>
                  <w:rPr>
                    <w:rFonts w:ascii="Cambria Math" w:hAnsi="Times New Roman" w:cs="Times New Roman"/>
                    <w:i/>
                    <w:lang w:val="ro-MO"/>
                  </w:rPr>
                </m:ctrlPr>
              </m:sSubPr>
              <m:e>
                <m:r>
                  <w:rPr>
                    <w:rFonts w:ascii="Cambria Math" w:hAnsi="Cambria Math" w:cs="Times New Roman"/>
                    <w:lang w:val="ro-MO"/>
                  </w:rPr>
                  <m:t>w</m:t>
                </m:r>
              </m:e>
              <m:sub>
                <m:r>
                  <w:rPr>
                    <w:rFonts w:ascii="Cambria Math" w:hAnsi="Cambria Math" w:cs="Times New Roman"/>
                    <w:lang w:val="ro-MO"/>
                  </w:rPr>
                  <m:t>n</m:t>
                </m:r>
              </m:sub>
            </m:sSub>
            <m:sSub>
              <m:sSubPr>
                <m:ctrlPr>
                  <w:rPr>
                    <w:rFonts w:ascii="Cambria Math" w:hAnsi="Times New Roman" w:cs="Times New Roman"/>
                    <w:i/>
                    <w:lang w:val="ro-MO"/>
                  </w:rPr>
                </m:ctrlPr>
              </m:sSubPr>
              <m:e>
                <m:r>
                  <m:rPr>
                    <m:sty m:val="p"/>
                  </m:rPr>
                  <w:rPr>
                    <w:rFonts w:ascii="Cambria Math" w:hAnsi="Times New Roman" w:cs="Times New Roman"/>
                    <w:lang w:val="ro-MO"/>
                  </w:rPr>
                  <m:t>R</m:t>
                </m:r>
              </m:e>
              <m:sub>
                <m:r>
                  <w:rPr>
                    <w:rFonts w:ascii="Cambria Math" w:hAnsi="Cambria Math" w:cs="Times New Roman"/>
                    <w:lang w:val="ro-MO"/>
                  </w:rPr>
                  <m:t>n</m:t>
                </m:r>
              </m:sub>
            </m:sSub>
          </m:e>
        </m:d>
        <m:r>
          <w:rPr>
            <w:rFonts w:ascii="Cambria Math" w:hAnsi="Times New Roman" w:cs="Times New Roman"/>
            <w:lang w:val="ro-MO"/>
          </w:rPr>
          <m:t>×</m:t>
        </m:r>
        <m:r>
          <w:rPr>
            <w:rFonts w:ascii="Cambria Math" w:hAnsi="Times New Roman" w:cs="Times New Roman"/>
            <w:lang w:val="ro-MO"/>
          </w:rPr>
          <m:t>200</m:t>
        </m:r>
      </m:oMath>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или                                                              </w:t>
      </w:r>
      <m:oMath>
        <m:sSub>
          <m:sSubPr>
            <m:ctrlPr>
              <w:rPr>
                <w:rFonts w:ascii="Cambria Math" w:hAnsi="Times New Roman" w:cs="Times New Roman"/>
                <w:i/>
                <w:lang w:val="ro-MO"/>
              </w:rPr>
            </m:ctrlPr>
          </m:sSubPr>
          <m:e>
            <m:r>
              <w:rPr>
                <w:rFonts w:ascii="Cambria Math" w:hAnsi="Cambria Math" w:cs="Times New Roman"/>
                <w:lang w:val="ro-MO"/>
              </w:rPr>
              <m:t>R</m:t>
            </m:r>
          </m:e>
          <m:sub>
            <m:r>
              <w:rPr>
                <w:rFonts w:ascii="Cambria Math" w:hAnsi="Cambria Math" w:cs="Times New Roman"/>
                <w:lang w:val="ro-MO"/>
              </w:rPr>
              <m:t>g</m:t>
            </m:r>
          </m:sub>
        </m:sSub>
        <m:r>
          <w:rPr>
            <w:rFonts w:ascii="Cambria Math" w:hAnsi="Times New Roman" w:cs="Times New Roman"/>
            <w:lang w:val="ro-MO"/>
          </w:rPr>
          <m:t>=</m:t>
        </m:r>
        <m:d>
          <m:dPr>
            <m:ctrlPr>
              <w:rPr>
                <w:rFonts w:ascii="Cambria Math" w:hAnsi="Times New Roman" w:cs="Times New Roman"/>
                <w:i/>
                <w:lang w:val="ro-MO"/>
              </w:rPr>
            </m:ctrlPr>
          </m:dPr>
          <m:e>
            <m:nary>
              <m:naryPr>
                <m:chr m:val="∑"/>
                <m:limLoc m:val="undOvr"/>
                <m:ctrlPr>
                  <w:rPr>
                    <w:rFonts w:ascii="Cambria Math" w:hAnsi="Times New Roman" w:cs="Times New Roman"/>
                    <w:i/>
                    <w:lang w:val="ro-MO"/>
                  </w:rPr>
                </m:ctrlPr>
              </m:naryPr>
              <m:sub>
                <m:r>
                  <w:rPr>
                    <w:rFonts w:ascii="Cambria Math" w:hAnsi="Times New Roman" w:cs="Times New Roman"/>
                    <w:lang w:val="ro-MO"/>
                  </w:rPr>
                  <m:t>1</m:t>
                </m:r>
              </m:sub>
              <m:sup>
                <m:r>
                  <w:rPr>
                    <w:rFonts w:ascii="Cambria Math" w:hAnsi="Cambria Math" w:cs="Times New Roman"/>
                    <w:lang w:val="ro-MO"/>
                  </w:rPr>
                  <m:t>n</m:t>
                </m:r>
              </m:sup>
              <m:e>
                <m:r>
                  <w:rPr>
                    <w:rFonts w:ascii="Cambria Math" w:hAnsi="Cambria Math" w:cs="Times New Roman"/>
                    <w:lang w:val="ro-MO"/>
                  </w:rPr>
                  <m:t>w</m:t>
                </m:r>
                <m:r>
                  <m:rPr>
                    <m:sty m:val="p"/>
                  </m:rPr>
                  <w:rPr>
                    <w:rFonts w:ascii="Cambria Math" w:hAnsi="Times New Roman" w:cs="Times New Roman"/>
                    <w:lang w:val="ro-MO"/>
                  </w:rPr>
                  <m:t>R</m:t>
                </m:r>
              </m:e>
            </m:nary>
          </m:e>
        </m:d>
        <m:r>
          <w:rPr>
            <w:rFonts w:ascii="Cambria Math" w:hAnsi="Times New Roman" w:cs="Times New Roman"/>
            <w:lang w:val="ro-MO"/>
          </w:rPr>
          <m:t>×</m:t>
        </m:r>
        <m:r>
          <w:rPr>
            <w:rFonts w:ascii="Cambria Math" w:hAnsi="Times New Roman" w:cs="Times New Roman"/>
            <w:lang w:val="ro-MO"/>
          </w:rPr>
          <m:t>200</m:t>
        </m:r>
      </m:oMath>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где:</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Rg</w:t>
      </w:r>
      <w:r w:rsidRPr="0055411A">
        <w:rPr>
          <w:rFonts w:ascii="Times New Roman" w:hAnsi="Times New Roman" w:cs="Times New Roman"/>
          <w:sz w:val="28"/>
          <w:szCs w:val="28"/>
          <w:lang w:val="ru-RU"/>
        </w:rPr>
        <w:t xml:space="preserve"> – общая степень риска, связанного с потенциальным предметом контроля;</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 xml:space="preserve">1, 2, </w:t>
      </w:r>
      <w:r w:rsidRPr="0055411A">
        <w:rPr>
          <w:rFonts w:ascii="Times New Roman" w:hAnsi="Times New Roman" w:cs="Times New Roman"/>
          <w:i/>
          <w:sz w:val="28"/>
          <w:szCs w:val="28"/>
          <w:lang w:val="ru-RU"/>
        </w:rPr>
        <w:t>n</w:t>
      </w:r>
      <w:r w:rsidRPr="0055411A">
        <w:rPr>
          <w:rFonts w:ascii="Times New Roman" w:hAnsi="Times New Roman" w:cs="Times New Roman"/>
          <w:sz w:val="28"/>
          <w:szCs w:val="28"/>
          <w:lang w:val="ru-RU"/>
        </w:rPr>
        <w:t xml:space="preserve"> – критерии риска;</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w</w:t>
      </w:r>
      <w:r w:rsidRPr="0055411A">
        <w:rPr>
          <w:rFonts w:ascii="Times New Roman" w:hAnsi="Times New Roman" w:cs="Times New Roman"/>
          <w:sz w:val="28"/>
          <w:szCs w:val="28"/>
          <w:lang w:val="ru-RU"/>
        </w:rPr>
        <w:t xml:space="preserve"> – весомость каждого критерия риска, где сумма индивидуальных значений весомости равна единице;</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i/>
          <w:sz w:val="28"/>
          <w:szCs w:val="28"/>
          <w:lang w:val="ru-RU"/>
        </w:rPr>
        <w:t>R</w:t>
      </w:r>
      <w:r w:rsidRPr="0055411A">
        <w:rPr>
          <w:rFonts w:ascii="Times New Roman" w:hAnsi="Times New Roman" w:cs="Times New Roman"/>
          <w:sz w:val="28"/>
          <w:szCs w:val="28"/>
          <w:lang w:val="ru-RU"/>
        </w:rPr>
        <w:t xml:space="preserve"> – уровень риска для каждого критерия.</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16. После применения формулы, изложенной в пункте 15, общий риск варьирует от 200 до 1000 единиц, где предприниматели, которым присуждаются 200 единиц, соотносятся с низким риском.</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17. В зависимости от полученного балла, в результате применения формулы субъекты контроля упорядочиваются, таким образом, в верхней части находятся предприниматели, которые добились максимального балла (1000 единиц) и подлежат проверке в приоритетном порядке.</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w w:val="105"/>
          <w:sz w:val="28"/>
          <w:szCs w:val="28"/>
          <w:lang w:val="ru-RU" w:bidi="he-IL"/>
        </w:rPr>
        <w:t xml:space="preserve">18. </w:t>
      </w:r>
      <w:r w:rsidRPr="0055411A">
        <w:rPr>
          <w:rFonts w:ascii="Times New Roman" w:hAnsi="Times New Roman" w:cs="Times New Roman"/>
          <w:sz w:val="28"/>
          <w:szCs w:val="28"/>
          <w:lang w:val="ru-RU"/>
        </w:rPr>
        <w:t xml:space="preserve">На основе классификации Инспекция составляет проект графика плановых квартальных проверок, которые отправляются для регистрации </w:t>
      </w:r>
      <w:r w:rsidRPr="0055411A">
        <w:rPr>
          <w:rFonts w:ascii="Times New Roman" w:hAnsi="Times New Roman" w:cs="Times New Roman"/>
          <w:sz w:val="28"/>
          <w:szCs w:val="28"/>
          <w:lang w:val="ru-RU"/>
        </w:rPr>
        <w:lastRenderedPageBreak/>
        <w:t>Государственной канцелярии в порядке и в сроки, установленные Правительством.</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19. Классификация используется Инспекцией для назначения рекомендуемой частоты проверок для каждого отдельного предпринимателя. Рекомендуемая частота может использоваться для установления приоритетов для внезапного контроля в случае, когда несколько предпринимателей одновременно подпадают под основания и условия, установленные статьей 19 Закона № 131 от 8 июня 2012 года о государственном контроле предпринимательской деятельности.</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20. В конце квартала, на который было осуществлено планирование, Инспекция разрабатывает отчет, в котором будет определена весомость предпринимателей, подлежащих проверке, от общего числа, и на основе информации, собранной в ходе проверки, по необходимости, будут изменены ранее присужденные баллы, вследствие изменения ситуации с момента последней проведенной проверки, для актуализации профиля каждого предпринимателя.</w:t>
      </w:r>
    </w:p>
    <w:p w:rsidR="0055411A" w:rsidRPr="0055411A" w:rsidRDefault="0055411A" w:rsidP="0055411A">
      <w:pPr>
        <w:spacing w:after="0"/>
        <w:ind w:firstLine="720"/>
        <w:jc w:val="center"/>
        <w:textAlignment w:val="top"/>
        <w:rPr>
          <w:rFonts w:ascii="Times New Roman" w:hAnsi="Times New Roman" w:cs="Times New Roman"/>
          <w:b/>
          <w:sz w:val="28"/>
          <w:szCs w:val="28"/>
          <w:lang w:val="ru-RU"/>
        </w:rPr>
      </w:pP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 xml:space="preserve">VI. Создание и поддержка системы данных, </w:t>
      </w:r>
    </w:p>
    <w:p w:rsidR="0055411A" w:rsidRPr="0055411A" w:rsidRDefault="0055411A" w:rsidP="0055411A">
      <w:pPr>
        <w:spacing w:after="0"/>
        <w:jc w:val="center"/>
        <w:textAlignment w:val="top"/>
        <w:rPr>
          <w:rFonts w:ascii="Times New Roman" w:hAnsi="Times New Roman" w:cs="Times New Roman"/>
          <w:b/>
          <w:sz w:val="28"/>
          <w:szCs w:val="28"/>
          <w:lang w:val="ru-RU"/>
        </w:rPr>
      </w:pPr>
      <w:r w:rsidRPr="0055411A">
        <w:rPr>
          <w:rFonts w:ascii="Times New Roman" w:hAnsi="Times New Roman" w:cs="Times New Roman"/>
          <w:b/>
          <w:sz w:val="28"/>
          <w:szCs w:val="28"/>
          <w:lang w:val="ru-RU"/>
        </w:rPr>
        <w:t>необходимой для использования критериев риска</w:t>
      </w:r>
    </w:p>
    <w:p w:rsidR="0055411A" w:rsidRPr="0055411A" w:rsidRDefault="0055411A" w:rsidP="0055411A">
      <w:pPr>
        <w:spacing w:after="0"/>
        <w:ind w:firstLine="720"/>
        <w:jc w:val="center"/>
        <w:textAlignment w:val="top"/>
        <w:rPr>
          <w:rFonts w:ascii="Times New Roman" w:hAnsi="Times New Roman" w:cs="Times New Roman"/>
          <w:b/>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21. Система анализа проверок на основе критериев риска основана на релевантных статистических данных, достоверных, надежных и доступных, поставляемых Национальным бюро статистики, и другой достоверной информации.</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rPr>
          <w:rFonts w:ascii="Times New Roman" w:hAnsi="Times New Roman" w:cs="Times New Roman"/>
          <w:sz w:val="28"/>
          <w:szCs w:val="28"/>
          <w:lang w:val="ru-RU"/>
        </w:rPr>
      </w:pPr>
      <w:r w:rsidRPr="0055411A">
        <w:rPr>
          <w:rFonts w:ascii="Times New Roman" w:hAnsi="Times New Roman" w:cs="Times New Roman"/>
          <w:sz w:val="28"/>
          <w:szCs w:val="28"/>
          <w:lang w:val="ru-RU"/>
        </w:rPr>
        <w:t>22. Для разработки и поддержания классификации предпринимателей на основе представленных рисков Инспекция поддерживает базу данных, которая включает:</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a) список всех предпринимателей, которые подлежат контролю, с личными идентификационными данными;</w:t>
      </w:r>
    </w:p>
    <w:p w:rsidR="0055411A" w:rsidRPr="0055411A" w:rsidRDefault="0055411A" w:rsidP="0055411A">
      <w:pPr>
        <w:tabs>
          <w:tab w:val="left" w:pos="709"/>
        </w:tabs>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b) историю деятельности по контролю;</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rPr>
        <w:t>с) профиль каждого предпринимателя с информацией, соответствующей критериям риска, используемой для классификации данного предпринимателя, и т.д.</w:t>
      </w: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p>
    <w:p w:rsidR="0055411A" w:rsidRPr="0055411A" w:rsidRDefault="0055411A" w:rsidP="0055411A">
      <w:pPr>
        <w:spacing w:after="0"/>
        <w:ind w:firstLine="720"/>
        <w:jc w:val="both"/>
        <w:textAlignment w:val="top"/>
        <w:rPr>
          <w:rFonts w:ascii="Times New Roman" w:hAnsi="Times New Roman" w:cs="Times New Roman"/>
          <w:sz w:val="28"/>
          <w:szCs w:val="28"/>
          <w:lang w:val="ru-RU"/>
        </w:rPr>
      </w:pPr>
      <w:r w:rsidRPr="0055411A">
        <w:rPr>
          <w:rFonts w:ascii="Times New Roman" w:hAnsi="Times New Roman" w:cs="Times New Roman"/>
          <w:sz w:val="28"/>
          <w:szCs w:val="28"/>
          <w:lang w:val="ru-RU" w:bidi="he-IL"/>
        </w:rPr>
        <w:lastRenderedPageBreak/>
        <w:t>23. Инспекция ежегодно</w:t>
      </w:r>
      <w:r w:rsidRPr="0055411A">
        <w:rPr>
          <w:rFonts w:ascii="Times New Roman" w:hAnsi="Times New Roman" w:cs="Times New Roman"/>
          <w:sz w:val="28"/>
          <w:szCs w:val="28"/>
          <w:lang w:val="ru-RU"/>
        </w:rPr>
        <w:t xml:space="preserve"> пересматривает и обновляет информацию, необходимую для применения критериев риска.</w:t>
      </w:r>
    </w:p>
    <w:p w:rsidR="0009002D" w:rsidRPr="0055411A" w:rsidRDefault="0009002D" w:rsidP="0055411A">
      <w:pPr>
        <w:spacing w:after="0"/>
        <w:rPr>
          <w:rFonts w:ascii="Times New Roman" w:hAnsi="Times New Roman" w:cs="Times New Roman"/>
          <w:lang w:val="ru-RU"/>
        </w:rPr>
      </w:pPr>
    </w:p>
    <w:sectPr w:rsidR="0009002D" w:rsidRPr="0055411A" w:rsidSect="003735E9">
      <w:headerReference w:type="default" r:id="rId4"/>
      <w:footerReference w:type="default" r:id="rId5"/>
      <w:footerReference w:type="first" r:id="rId6"/>
      <w:pgSz w:w="11907" w:h="16840" w:code="9"/>
      <w:pgMar w:top="1418" w:right="964" w:bottom="1418" w:left="1814" w:header="709" w:footer="709"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BC Newto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9A" w:rsidRPr="00A72131" w:rsidRDefault="0009002D">
    <w:pPr>
      <w:pStyle w:val="Footer"/>
      <w:rPr>
        <w:rFonts w:ascii="Times New Roman" w:hAnsi="Times New Roman"/>
        <w:sz w:val="16"/>
        <w:szCs w:val="16"/>
      </w:rPr>
    </w:pPr>
    <w:fldSimple w:instr=" FILENAME  \p  \* MERGEFORMAT ">
      <w:r>
        <w:rPr>
          <w:rFonts w:ascii="Times New Roman" w:hAnsi="Times New Roman"/>
          <w:noProof/>
          <w:sz w:val="16"/>
          <w:szCs w:val="16"/>
        </w:rPr>
        <w:t>X:\Valentina\DOC_2014\Regulamente\metodol_ispectia_truda.doc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E9" w:rsidRDefault="0009002D">
    <w:pPr>
      <w:pStyle w:val="Footer"/>
    </w:pPr>
    <w:fldSimple w:instr=" FILENAME  \p  \* MERGEFORMAT ">
      <w:r>
        <w:rPr>
          <w:rFonts w:ascii="Times New Roman" w:hAnsi="Times New Roman"/>
          <w:noProof/>
          <w:sz w:val="16"/>
          <w:szCs w:val="16"/>
        </w:rPr>
        <w:t>X:\Valentina\DOC_2014\Regulamente\metodol_ispectia_truda.doc</w:t>
      </w:r>
    </w:fldSimple>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9A" w:rsidRPr="00A72131" w:rsidRDefault="0009002D" w:rsidP="00A72131">
    <w:pPr>
      <w:pStyle w:val="Header"/>
      <w:jc w:val="center"/>
      <w:rPr>
        <w:rFonts w:ascii="Times New Roman" w:hAnsi="Times New Roman"/>
      </w:rPr>
    </w:pPr>
    <w:r w:rsidRPr="00A72131">
      <w:rPr>
        <w:rFonts w:ascii="Times New Roman" w:hAnsi="Times New Roman"/>
      </w:rPr>
      <w:fldChar w:fldCharType="begin"/>
    </w:r>
    <w:r w:rsidRPr="00A72131">
      <w:rPr>
        <w:rFonts w:ascii="Times New Roman" w:hAnsi="Times New Roman"/>
      </w:rPr>
      <w:instrText>PAGE   \</w:instrText>
    </w:r>
    <w:r w:rsidRPr="00A72131">
      <w:rPr>
        <w:rFonts w:ascii="Times New Roman" w:hAnsi="Times New Roman"/>
      </w:rPr>
      <w:instrText>* MERGEFORMAT</w:instrText>
    </w:r>
    <w:r w:rsidRPr="00A72131">
      <w:rPr>
        <w:rFonts w:ascii="Times New Roman" w:hAnsi="Times New Roman"/>
      </w:rPr>
      <w:fldChar w:fldCharType="separate"/>
    </w:r>
    <w:r w:rsidR="0055411A" w:rsidRPr="0055411A">
      <w:rPr>
        <w:rFonts w:ascii="Times New Roman" w:hAnsi="Times New Roman"/>
        <w:noProof/>
        <w:lang w:val="ru-RU"/>
      </w:rPr>
      <w:t>2</w:t>
    </w:r>
    <w:r w:rsidRPr="00A72131">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411A"/>
    <w:rsid w:val="0009002D"/>
    <w:rsid w:val="00554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11A"/>
    <w:pPr>
      <w:tabs>
        <w:tab w:val="center" w:pos="4680"/>
        <w:tab w:val="right" w:pos="9360"/>
      </w:tabs>
      <w:spacing w:after="0" w:line="240" w:lineRule="auto"/>
    </w:pPr>
    <w:rPr>
      <w:rFonts w:ascii="ABC Newton" w:eastAsia="Times New Roman" w:hAnsi="ABC Newton" w:cs="Times New Roman"/>
      <w:sz w:val="24"/>
      <w:szCs w:val="20"/>
      <w:lang w:val="en-GB" w:eastAsia="ru-RU"/>
    </w:rPr>
  </w:style>
  <w:style w:type="character" w:customStyle="1" w:styleId="HeaderChar">
    <w:name w:val="Header Char"/>
    <w:basedOn w:val="DefaultParagraphFont"/>
    <w:link w:val="Header"/>
    <w:uiPriority w:val="99"/>
    <w:rsid w:val="0055411A"/>
    <w:rPr>
      <w:rFonts w:ascii="ABC Newton" w:eastAsia="Times New Roman" w:hAnsi="ABC Newton" w:cs="Times New Roman"/>
      <w:sz w:val="24"/>
      <w:szCs w:val="20"/>
      <w:lang w:val="en-GB" w:eastAsia="ru-RU"/>
    </w:rPr>
  </w:style>
  <w:style w:type="paragraph" w:styleId="Footer">
    <w:name w:val="footer"/>
    <w:basedOn w:val="Normal"/>
    <w:link w:val="FooterChar"/>
    <w:uiPriority w:val="99"/>
    <w:rsid w:val="0055411A"/>
    <w:pPr>
      <w:tabs>
        <w:tab w:val="center" w:pos="4680"/>
        <w:tab w:val="right" w:pos="9360"/>
      </w:tabs>
      <w:spacing w:after="0" w:line="240" w:lineRule="auto"/>
    </w:pPr>
    <w:rPr>
      <w:rFonts w:ascii="ABC Newton" w:eastAsia="Times New Roman" w:hAnsi="ABC Newton" w:cs="Times New Roman"/>
      <w:sz w:val="24"/>
      <w:szCs w:val="20"/>
      <w:lang w:val="en-GB" w:eastAsia="ru-RU"/>
    </w:rPr>
  </w:style>
  <w:style w:type="character" w:customStyle="1" w:styleId="FooterChar">
    <w:name w:val="Footer Char"/>
    <w:basedOn w:val="DefaultParagraphFont"/>
    <w:link w:val="Footer"/>
    <w:uiPriority w:val="99"/>
    <w:rsid w:val="0055411A"/>
    <w:rPr>
      <w:rFonts w:ascii="ABC Newton" w:eastAsia="Times New Roman" w:hAnsi="ABC Newton" w:cs="Times New Roman"/>
      <w:sz w:val="24"/>
      <w:szCs w:val="20"/>
      <w:lang w:val="en-GB" w:eastAsia="ru-RU"/>
    </w:rPr>
  </w:style>
  <w:style w:type="paragraph" w:styleId="BalloonText">
    <w:name w:val="Balloon Text"/>
    <w:basedOn w:val="Normal"/>
    <w:link w:val="BalloonTextChar"/>
    <w:uiPriority w:val="99"/>
    <w:semiHidden/>
    <w:unhideWhenUsed/>
    <w:rsid w:val="0055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2014-06-03T11:17:00Z</dcterms:created>
  <dcterms:modified xsi:type="dcterms:W3CDTF">2014-06-03T11:17:00Z</dcterms:modified>
</cp:coreProperties>
</file>